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000000" w:rsidRDefault="00774780" w14:paraId="17850C96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4DD12E8B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2800" cy="1129665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-339" r="-467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345EC1" w:rsidR="00774780">
        <w:rPr>
          <w:rFonts w:ascii="Times New Roman" w:hAnsi="Times New Roman" w:cs="Times New Roman"/>
          <w:b w:val="1"/>
          <w:bCs w:val="1"/>
        </w:rPr>
        <w:t>Утвърдил: …………………..</w:t>
      </w:r>
    </w:p>
    <w:p xmlns:wp14="http://schemas.microsoft.com/office/word/2010/wordml" w:rsidR="00000000" w:rsidRDefault="00774780" w14:paraId="672A6659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00000" w:rsidRDefault="00774780" w14:paraId="61EDBFE1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000000" w:rsidRDefault="00774780" w14:paraId="47A7D1C3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000000" w:rsidRDefault="00774780" w14:paraId="6F1584C2" wp14:textId="77777777">
      <w:pPr>
        <w:pStyle w:val="Heading"/>
        <w:spacing w:before="360" w:line="360" w:lineRule="auto"/>
      </w:pPr>
      <w:r w:rsidRPr="28168EA8" w:rsidR="00774780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39483DB9" w:rsidP="28168EA8" w:rsidRDefault="39483DB9" w14:paraId="596D2A68" w14:textId="5B9685E9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8168EA8" w:rsidR="39483DB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28168EA8" w:rsidR="39483DB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39483DB9" w:rsidP="28168EA8" w:rsidRDefault="39483DB9" w14:paraId="3286553C" w14:textId="11B8721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8168EA8" w:rsidR="39483D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28168EA8" w:rsidR="39483DB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8168EA8" w:rsidTr="28168EA8" w14:paraId="7AECD0C5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15CEFF2E" w14:textId="16BB79F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8168EA8" w:rsidR="28168E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079B4243" w14:textId="77633F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8168EA8" w:rsidR="28168E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2188DD42" w14:textId="718707D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28168EA8" w:rsidR="28168E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022CFC7F" w14:textId="705AB71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2FB019CA" w14:textId="6275236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1E1E7A1A" w14:textId="17773E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43368813" w14:textId="18C1436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29200E9B" w14:textId="5932F0E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3D032F05" w14:textId="17C0B9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39483DB9" w:rsidP="28168EA8" w:rsidRDefault="39483DB9" w14:paraId="03A53EB4" w14:textId="0479415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8168EA8" w:rsidR="39483D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39483DB9" w:rsidP="28168EA8" w:rsidRDefault="39483DB9" w14:paraId="783846E7" w14:textId="6CE3474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8168EA8" w:rsidR="39483DB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28168EA8" w:rsidR="39483D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28168EA8" w:rsidR="39483DB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28168EA8" w:rsidTr="28168EA8" w14:paraId="45E63B5D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42B93006" w14:textId="536E26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24265BFB" w14:textId="4DD832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1D96F3DB" w14:textId="096B9D9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1D14F3D8" w14:textId="059BC0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63071323" w14:textId="3149177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173F84F3" w14:textId="0C7E851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345794F8" w14:textId="6BEB59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099EDA52" w14:textId="0A49268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28168EA8" w:rsidP="28168EA8" w:rsidRDefault="28168EA8" w14:paraId="793CF5B7" w14:textId="54F0370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39483DB9" w:rsidP="28168EA8" w:rsidRDefault="39483DB9" w14:paraId="74CCDB0E" w14:textId="2C1655A0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28168EA8" w:rsidR="39483DB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28168EA8" w:rsidP="28168EA8" w:rsidRDefault="28168EA8" w14:paraId="2125331E" w14:textId="4D04BD9A">
      <w:pPr>
        <w:pStyle w:val="a"/>
        <w:rPr>
          <w:rFonts w:ascii="MS Sans Serif" w:hAnsi="MS Sans Serif" w:eastAsia="Times New Roman" w:cs="MS Sans Serif"/>
        </w:rPr>
      </w:pPr>
    </w:p>
    <w:p xmlns:wp14="http://schemas.microsoft.com/office/word/2010/wordml" w:rsidR="00000000" w:rsidRDefault="00774780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00000" w:rsidP="28168EA8" w:rsidRDefault="00774780" w14:paraId="7292B4BC" wp14:textId="77777777">
      <w:pPr>
        <w:pStyle w:val="3"/>
        <w:numPr>
          <w:numId w:val="0"/>
        </w:numPr>
        <w:spacing w:line="360" w:lineRule="auto"/>
        <w:jc w:val="left"/>
      </w:pPr>
      <w:r w:rsidR="007747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Дисциплина: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420"/>
        <w:gridCol w:w="420"/>
        <w:gridCol w:w="420"/>
      </w:tblGrid>
      <w:tr w:rsidR="28168EA8" w:rsidTr="28168EA8" w14:paraId="2E401E6C">
        <w:tc>
          <w:tcPr>
            <w:tcW w:w="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8168EA8" w:rsidP="28168EA8" w:rsidRDefault="28168EA8" w14:paraId="1DE66DCD" w14:textId="10E4E32A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8168EA8" w:rsidP="28168EA8" w:rsidRDefault="28168EA8" w14:paraId="0F4D233E" w14:textId="74A4B932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8168EA8" w:rsidP="28168EA8" w:rsidRDefault="28168EA8" w14:paraId="622CA25A" w14:textId="2CFD5807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8168EA8" w:rsidP="28168EA8" w:rsidRDefault="28168EA8" w14:paraId="7BF2995C" w14:textId="71C1D665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774780" w14:paraId="02AFF05D" wp14:textId="77777777">
      <w:pPr>
        <w:spacing w:line="360" w:lineRule="auto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ИСТОРИЯ НА ФИЗИКАТА</w:t>
      </w:r>
    </w:p>
    <w:p xmlns:wp14="http://schemas.microsoft.com/office/word/2010/wordml" w:rsidR="00000000" w:rsidP="28168EA8" w:rsidRDefault="00774780" w14:paraId="6D4524F0" wp14:textId="4A25222F">
      <w:pPr>
        <w:pStyle w:val="3"/>
        <w:numPr>
          <w:numId w:val="0"/>
        </w:numPr>
        <w:spacing w:line="360" w:lineRule="auto"/>
        <w:jc w:val="left"/>
      </w:pPr>
      <w:r w:rsidRPr="28168EA8" w:rsidR="00774780">
        <w:rPr>
          <w:sz w:val="24"/>
          <w:szCs w:val="24"/>
        </w:rPr>
        <w:t xml:space="preserve">Преподаватели: </w:t>
      </w:r>
      <w:r w:rsidRPr="28168EA8" w:rsidR="00774780">
        <w:rPr>
          <w:sz w:val="24"/>
          <w:szCs w:val="24"/>
        </w:rPr>
        <w:t>гл. ас. д-р Владимир Божилов, гл. ас. д-р Георги Петров</w:t>
      </w:r>
    </w:p>
    <w:p xmlns:wp14="http://schemas.microsoft.com/office/word/2010/wordml" w:rsidR="00000000" w:rsidRDefault="00774780" w14:paraId="6B699379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78"/>
      </w:tblGrid>
      <w:tr xmlns:wp14="http://schemas.microsoft.com/office/word/2010/wordml" w:rsidR="00000000" w:rsidTr="35E40AB4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1EC2E9B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5F07A95F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:rsidTr="35E40AB4" w14:paraId="57B42D6A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26951ED7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1504A7F1" wp14:textId="77777777"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219897CE" wp14:textId="77777777"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35E40AB4" w14:paraId="4ED97759" wp14:textId="77777777">
        <w:tc>
          <w:tcPr>
            <w:tcW w:w="2093" w:type="dxa"/>
            <w:vMerge/>
            <w:tcBorders/>
            <w:tcMar/>
          </w:tcPr>
          <w:p w:rsidR="00000000" w:rsidRDefault="00774780" w14:paraId="3FE9F23F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2138E36A" wp14:textId="77777777">
            <w:r>
              <w:rPr>
                <w:rFonts w:ascii="Times New Roman" w:hAnsi="Times New Roman" w:cs="Times New Roman"/>
                <w:lang w:val="bg-BG"/>
              </w:rPr>
              <w:t xml:space="preserve">Семинарни </w:t>
            </w:r>
            <w:r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1F72F64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1D9B8669" wp14:textId="77777777">
        <w:tc>
          <w:tcPr>
            <w:tcW w:w="2093" w:type="dxa"/>
            <w:vMerge/>
            <w:tcBorders/>
            <w:tcMar/>
          </w:tcPr>
          <w:p w:rsidR="00000000" w:rsidRDefault="00774780" w14:paraId="08CE6F91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24CCAC2" wp14:textId="77777777"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1CDCEA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002F03F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171BFD04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60DA3216" wp14:textId="11348DE6">
            <w:r w:rsidRPr="12E6F108" w:rsidR="528A5CF8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2E6F108" w:rsidR="0077478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35E40AB4" w14:paraId="2E50BBCD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12117E24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3FCBBD0" wp14:textId="77777777"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18E8C380" wp14:textId="72B58DDD">
            <w:pPr>
              <w:snapToGrid w:val="0"/>
            </w:pPr>
            <w:r w:rsidRPr="12E6F108" w:rsidR="75206B10">
              <w:rPr>
                <w:rFonts w:ascii="Times New Roman" w:hAnsi="Times New Roman" w:cs="Times New Roman"/>
                <w:lang w:val="bg-BG"/>
              </w:rPr>
              <w:t>1</w:t>
            </w:r>
            <w:r w:rsidRPr="12E6F108" w:rsidR="00774780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000000" w:rsidTr="35E40AB4" w14:paraId="79EBD8F2" wp14:textId="77777777">
        <w:tc>
          <w:tcPr>
            <w:tcW w:w="2093" w:type="dxa"/>
            <w:vMerge/>
            <w:tcBorders/>
            <w:tcMar/>
          </w:tcPr>
          <w:p w:rsidR="00000000" w:rsidRDefault="00774780" w14:paraId="6BB9E25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F8A4F87" wp14:textId="77777777"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46B40F80" wp14:textId="7A93FA28">
            <w:pPr>
              <w:snapToGrid w:val="0"/>
            </w:pPr>
            <w:r w:rsidRPr="12E6F108" w:rsidR="73C43D5E">
              <w:rPr>
                <w:rFonts w:ascii="Times New Roman" w:hAnsi="Times New Roman" w:cs="Times New Roman"/>
                <w:lang w:val="bg-BG"/>
              </w:rPr>
              <w:t>2</w:t>
            </w:r>
            <w:r w:rsidRPr="12E6F108" w:rsidR="00774780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000000" w:rsidTr="35E40AB4" w14:paraId="4CCA2F87" wp14:textId="77777777">
        <w:tc>
          <w:tcPr>
            <w:tcW w:w="2093" w:type="dxa"/>
            <w:vMerge/>
            <w:tcBorders/>
            <w:tcMar/>
          </w:tcPr>
          <w:p w:rsidR="00000000" w:rsidRDefault="00774780" w14:paraId="23DE523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2318735" wp14:textId="77777777"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2E562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7A8C1D30" wp14:textId="77777777">
        <w:tc>
          <w:tcPr>
            <w:tcW w:w="2093" w:type="dxa"/>
            <w:vMerge/>
            <w:tcBorders/>
            <w:tcMar/>
          </w:tcPr>
          <w:p w:rsidR="00000000" w:rsidRDefault="00774780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0BF9BB6E" wp14:textId="77777777"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043CB0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4A01FB84" wp14:textId="77777777">
        <w:tc>
          <w:tcPr>
            <w:tcW w:w="2093" w:type="dxa"/>
            <w:vMerge/>
            <w:tcBorders/>
            <w:tcMar/>
          </w:tcPr>
          <w:p w:rsidR="00000000" w:rsidRDefault="00774780" w14:paraId="07459315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7FC414CE" wp14:textId="77777777"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537F28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1177A8D3" wp14:textId="77777777">
        <w:tc>
          <w:tcPr>
            <w:tcW w:w="2093" w:type="dxa"/>
            <w:vMerge/>
            <w:tcBorders/>
            <w:tcMar/>
          </w:tcPr>
          <w:p w:rsidR="00000000" w:rsidRDefault="00774780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381A871" wp14:textId="77777777"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70DF9E56" wp14:textId="20999AEF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28168EA8" w:rsidR="2B5D75D8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35E40AB4" w14:paraId="44E871BC" wp14:textId="77777777">
        <w:tc>
          <w:tcPr>
            <w:tcW w:w="2093" w:type="dxa"/>
            <w:vMerge/>
            <w:tcBorders/>
            <w:tcMar/>
          </w:tcPr>
          <w:p w:rsidR="00000000" w:rsidRDefault="00774780" w14:paraId="144A5D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738610EB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637805D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463F29E8" wp14:textId="77777777">
        <w:tc>
          <w:tcPr>
            <w:tcW w:w="2093" w:type="dxa"/>
            <w:vMerge/>
            <w:tcBorders/>
            <w:tcMar/>
          </w:tcPr>
          <w:p w:rsidR="00000000" w:rsidRDefault="00774780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3A0FF5F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630AD6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61829076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17AD93B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0DE4B5B7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35E40AB4" w14:paraId="3530C4DE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6A2DAB54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774780" w14:paraId="174B1212" wp14:textId="31B380C8">
            <w:pPr>
              <w:snapToGrid w:val="0"/>
            </w:pPr>
            <w:r w:rsidRPr="12E6F108" w:rsidR="041E1AD3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2E6F108" w:rsidR="0077478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35E40AB4" w14:paraId="52BBE5D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53D2E338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3345EC1" w:rsidRDefault="00774780" w14:paraId="5AA05B6E" wp14:textId="721B8DD9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3345EC1" w:rsidR="3523CFF4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03345EC1" w:rsidR="0077478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35E40AB4" w14:paraId="359ECD38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4195EF62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3345EC1" w:rsidRDefault="00774780" w14:paraId="649841BE" wp14:textId="3A59408D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5E40AB4" w:rsidR="032827A2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35E40AB4" w:rsidR="37C07D8D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35E40AB4" w:rsidR="2CE53EB7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35E40AB4" w14:paraId="0887011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0DDAB6EA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8168EA8" w:rsidRDefault="00774780" w14:paraId="18F999B5" wp14:textId="3B4F5558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5E40AB4" w:rsidR="41E35715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35E40AB4" w:rsidR="4173188F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35E40AB4" w:rsidR="41E35715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35E40AB4" w14:paraId="5FD39BB3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774780" w14:paraId="4E54CCA9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03345EC1" w:rsidRDefault="00774780" w14:paraId="5FCD5EC4" wp14:textId="0922C04A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8168EA8" w:rsidR="2AB7DEA8">
              <w:rPr>
                <w:rFonts w:ascii="Times New Roman" w:hAnsi="Times New Roman" w:cs="Times New Roman"/>
                <w:b w:val="1"/>
                <w:bCs w:val="1"/>
                <w:lang w:val="bg-BG"/>
              </w:rPr>
              <w:t>4</w:t>
            </w:r>
            <w:r w:rsidRPr="28168EA8" w:rsidR="798F1B0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28168EA8" w:rsidR="2AB7DEA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00000" w:rsidRDefault="00774780" w14:paraId="66204FF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774780" w14:paraId="2DBF0D7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95"/>
      </w:tblGrid>
      <w:tr xmlns:wp14="http://schemas.microsoft.com/office/word/2010/wordml" w:rsidR="00000000" w14:paraId="7EC89DD7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="00000000" w:rsidRDefault="00774780" w14:paraId="427D9C9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="00000000" w:rsidRDefault="00774780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FootnoteCharacters"/>
                <w:rFonts w:ascii="Times New Roman" w:hAnsi="Times New Roman"/>
                <w:b/>
                <w:lang w:val="bg-BG"/>
              </w:rPr>
              <w:footnoteReference w:id="1"/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000000" w:rsidRDefault="00774780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000000" w14:paraId="55923FF2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6B62F1B3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6607DFC9" wp14:textId="77777777">
            <w:pPr>
              <w:pStyle w:val="aa"/>
              <w:tabs>
                <w:tab w:val="clear" w:pos="4153"/>
                <w:tab w:val="clear" w:pos="8306"/>
              </w:tabs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Колективно обсъждане на доклади и реферати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774780" w14:paraId="17DCED26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14:paraId="29BE1921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02F2C34E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0B861A6F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Представяне на през</w:t>
            </w:r>
            <w:r>
              <w:rPr>
                <w:rFonts w:ascii="Times New Roman" w:hAnsi="Times New Roman" w:cs="Times New Roman"/>
                <w:lang w:val="bg-BG"/>
              </w:rPr>
              <w:t>ентация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774780" w14:paraId="2C874B54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14:paraId="06DE6C93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680A4E5D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774780" w14:paraId="65976426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Изпит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774780" w14:paraId="184D513D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60%</w:t>
            </w:r>
          </w:p>
        </w:tc>
      </w:tr>
      <w:tr xmlns:wp14="http://schemas.microsoft.com/office/word/2010/wordml" w:rsidR="00000000" w14:paraId="301371BD" wp14:textId="77777777">
        <w:tc>
          <w:tcPr>
            <w:tcW w:w="8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774780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000000" w14:paraId="5277C0B8" wp14:textId="77777777">
        <w:trPr>
          <w:trHeight w:val="1425"/>
        </w:trPr>
        <w:tc>
          <w:tcPr>
            <w:tcW w:w="8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2A304319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по „История на физиката“ ще запознае студентите с основните стъпки от историческото развитие на физиката като фундаментална научна дисциплина през призмата на развитието на научния метод. 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бъдат представени както историческите основни на физиката, така и някои актуални въпросите от предния фронт на съвременната наука, важни за определяне на истинското място на човека в заобикалящия го свят.</w:t>
            </w:r>
          </w:p>
        </w:tc>
      </w:tr>
    </w:tbl>
    <w:p xmlns:wp14="http://schemas.microsoft.com/office/word/2010/wordml" w:rsidR="00000000" w:rsidRDefault="00774780" w14:paraId="19219836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957"/>
      </w:tblGrid>
      <w:tr xmlns:wp14="http://schemas.microsoft.com/office/word/2010/wordml" w:rsidR="00000000" w14:paraId="0B2BC66C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774780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000000" w14:paraId="2FC3732B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5DE16EAC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</w:tc>
      </w:tr>
    </w:tbl>
    <w:p xmlns:wp14="http://schemas.microsoft.com/office/word/2010/wordml" w:rsidR="00000000" w:rsidRDefault="00774780" w14:paraId="296FEF7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957"/>
      </w:tblGrid>
      <w:tr xmlns:wp14="http://schemas.microsoft.com/office/word/2010/wordml" w:rsidR="00000000" w14:paraId="4B393107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774780" w14:paraId="50C2AC64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лтати:</w:t>
            </w:r>
          </w:p>
        </w:tc>
      </w:tr>
      <w:tr xmlns:wp14="http://schemas.microsoft.com/office/word/2010/wordml" w:rsidR="00000000" w14:paraId="27D4F2F4" wp14:textId="77777777"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1FF2A04F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ще подпомогне студентите да придобият увереност при срещата си с понятия и концепции от света на физиката. В резултат на успешно завършения курс студентите ще бъдат подготвени да участват със своята експертиза  в интердисциплинарни обсъждани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 на актуални теми от света на физиката, включително дисксуии за космологични модели, тъмна енергия и тъмно вещество, екзопланети и астробиология, теория на относителността и черни дупки.</w:t>
            </w:r>
          </w:p>
        </w:tc>
      </w:tr>
    </w:tbl>
    <w:p xmlns:wp14="http://schemas.microsoft.com/office/word/2010/wordml" w:rsidR="00000000" w:rsidRDefault="00774780" w14:paraId="7194DBD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774780" w14:paraId="2E052A77" wp14:textId="77777777">
      <w:pPr>
        <w:pStyle w:val="4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000000" w:rsidRDefault="00774780" w14:paraId="769D0D3C" wp14:textId="77777777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2045"/>
      </w:tblGrid>
      <w:tr xmlns:wp14="http://schemas.microsoft.com/office/word/2010/wordml" w:rsidR="00000000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774780" w14:paraId="595C7A58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774780" w14:paraId="49AB585A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774780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14:paraId="382EA697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56B20A0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542A49BA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Въведение. Космологичните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митове на древните култури и съвременни паралели.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Произход на научното познание.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Научният метод.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45B1BB76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часа</w:t>
            </w:r>
          </w:p>
        </w:tc>
      </w:tr>
      <w:tr xmlns:wp14="http://schemas.microsoft.com/office/word/2010/wordml" w:rsidR="00000000" w14:paraId="18AD7909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7144751B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E0045B1" wp14:textId="77777777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Геоцентризъм и хелиоцентризъм. От Птолемей до Революцията на Коперник.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Антропен принцип</w:t>
            </w:r>
            <w:r>
              <w:rPr>
                <w:rFonts w:ascii="Times New Roman" w:hAnsi="Times New Roman" w:cs="TimesNewRomanPSMT"/>
                <w:sz w:val="24"/>
                <w:szCs w:val="24"/>
                <w:lang w:val="bg-BG"/>
              </w:rPr>
              <w:t>.</w:t>
            </w:r>
          </w:p>
          <w:p w:rsidR="00000000" w:rsidRDefault="00774780" w14:paraId="0D89DC50" wp14:textId="77777777">
            <w:pPr>
              <w:autoSpaceDE w:val="0"/>
              <w:jc w:val="both"/>
            </w:pPr>
            <w:r>
              <w:rPr>
                <w:rFonts w:ascii="Times New Roman" w:hAnsi="Times New Roman" w:cs="TimesNewRomanPSMT"/>
                <w:sz w:val="24"/>
                <w:szCs w:val="24"/>
              </w:rPr>
              <w:t>Космологичен принцип</w:t>
            </w:r>
            <w:r>
              <w:rPr>
                <w:rFonts w:ascii="Times New Roman" w:hAnsi="Times New Roman" w:cs="TimesNewRomanPSMT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4E92BB2A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часа</w:t>
            </w:r>
          </w:p>
        </w:tc>
      </w:tr>
      <w:tr xmlns:wp14="http://schemas.microsoft.com/office/word/2010/wordml" w:rsidR="00000000" w14:paraId="6805E8EE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1F75A9DD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000000" w:rsidRDefault="00774780" w14:paraId="54CD24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774780" w14:paraId="1231BE6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7BEE613C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Раждането на научния метод: приносите на Галилео Галилей и Исак Нютон. Парадокс на Олберс. Разширяващата се Вселена.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36FEB5B0" wp14:textId="77777777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774780" w14:paraId="14450202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5031E7F3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0F9ABB3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0D2A4C2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Революцията на Алберт Айнщайн: Специална и Обща теория на относителността. Гравитационни лещи, гравитационни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вълни и черни дупки.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A746712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7EC99DB1" wp14:textId="77777777">
        <w:trPr>
          <w:trHeight w:val="328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6FC55333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79DDF1B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Съвременна космология: от Големия Взрив до идеята за Мултивселената. Тъмно вещество и тъмна енергия.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Бъдещето на Вселената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3B29C314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17293104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BC6DBB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08BE9BD4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Демокрит до революцията на квантовата механика.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26A521CC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3336511C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5CB103B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21538DB3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Скала на разстоянията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гадката на далечните активни галактични ядра.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42993D29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4D4B833A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3DF6D3B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2AA59487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Астробиология и екзопланети: в търсене на нов дом за човечеството. Търсене на извънземни технологични цивилизации.  Парадокс на Ферми. Уравнение на Дрейк.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3EB3141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16F45A5C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0F57406D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110F791B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Завладяването на Космоса. Космиче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ската надпревара. Космическото бъдеще на човечеството. Дискусия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DA7993A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xmlns:wp14="http://schemas.microsoft.com/office/word/2010/wordml" w:rsidR="00000000" w14:paraId="111B2E4F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5F682803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B43D4D7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Заключение: бъдещето на науката. Човечеството на прага на технологична сингулярност?</w:t>
            </w:r>
          </w:p>
        </w:tc>
        <w:tc>
          <w:tcPr>
            <w:tcW w:w="20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5CF3A702" wp14:textId="77777777">
            <w:pPr>
              <w:pStyle w:val="ad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xmlns:wp14="http://schemas.microsoft.com/office/word/2010/wordml" w:rsidR="00000000" w:rsidRDefault="00774780" w14:paraId="30D7AA69" wp14:textId="77777777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774780" w14:paraId="5A61AD25" wp14:textId="77777777">
      <w:pPr>
        <w:pStyle w:val="a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000000" w:rsidRDefault="00774780" w14:paraId="7196D064" wp14:textId="7777777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8"/>
        <w:gridCol w:w="8282"/>
      </w:tblGrid>
      <w:tr xmlns:wp14="http://schemas.microsoft.com/office/word/2010/wordml" w:rsidR="00000000" w14:paraId="43EE7821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774780" w14:paraId="1C66B0F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774780" w14:paraId="2872C590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000000" w14:paraId="664D68C8" wp14:textId="77777777">
        <w:trPr>
          <w:trHeight w:val="346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249FAAB8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24E9F7A4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Въведение. Космологичните митове на древните култури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съвременни паралели.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Произход на научното познание.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Научният метод.</w:t>
            </w:r>
          </w:p>
        </w:tc>
      </w:tr>
      <w:tr xmlns:wp14="http://schemas.microsoft.com/office/word/2010/wordml" w:rsidR="00000000" w14:paraId="734AA6FC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78E884C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427FD3BD" wp14:textId="77777777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Геоцентризъм и хелиоцентризъм. От Птолемей до Революцията на Коперник.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 Антропен принцип</w:t>
            </w:r>
            <w:r>
              <w:rPr>
                <w:rFonts w:ascii="Times New Roman" w:hAnsi="Times New Roman" w:cs="TimesNewRomanPSMT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>Космологичен принцип</w:t>
            </w:r>
            <w:r>
              <w:rPr>
                <w:rFonts w:ascii="Times New Roman" w:hAnsi="Times New Roman" w:cs="TimesNewRomanPSMT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</w:t>
            </w:r>
          </w:p>
        </w:tc>
      </w:tr>
      <w:tr xmlns:wp14="http://schemas.microsoft.com/office/word/2010/wordml" w:rsidR="00000000" w14:paraId="5192CFB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41B07F09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000000" w:rsidRDefault="00774780" w14:paraId="34FF1C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774780" w14:paraId="6D072C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3CEAE51D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Раждането на научния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приносите на Галилео Галилей и Исак Нютон. Парадокс на Олберс. Разширяващата се Вселена.</w:t>
            </w:r>
          </w:p>
        </w:tc>
      </w:tr>
      <w:tr xmlns:wp14="http://schemas.microsoft.com/office/word/2010/wordml" w:rsidR="00000000" w14:paraId="2AC742CB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5EECEDA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938C5DA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Революцията на Алберт Айнщайн: Специална и Обща теория на относителността. Гравитационни лещи, гравитационни вълни и черни дупки.</w:t>
            </w:r>
          </w:p>
        </w:tc>
      </w:tr>
      <w:tr xmlns:wp14="http://schemas.microsoft.com/office/word/2010/wordml" w:rsidR="00000000" w14:paraId="02C95E23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709E4A59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312D9E9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Съвременна космология: 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Големия Взрив до идеята за Мултивселената. Тъмно вещество и тъмна енергия. Бъдещето на Вселената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000000" w14:paraId="3753FE88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78212400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3B483836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Демокрит до революцията на квантовата механика.</w:t>
            </w:r>
          </w:p>
        </w:tc>
      </w:tr>
      <w:tr xmlns:wp14="http://schemas.microsoft.com/office/word/2010/wordml" w:rsidR="00000000" w14:paraId="29D51A6D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669988B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6FC6CBD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Скала на разстоянията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Загадката на далечните активни галактични ядра.</w:t>
            </w:r>
          </w:p>
        </w:tc>
      </w:tr>
      <w:tr xmlns:wp14="http://schemas.microsoft.com/office/word/2010/wordml" w:rsidR="00000000" w14:paraId="71714553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6963A453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696C2AEF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Астробиология и екзопла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нети: в търсене на нов дом за човечеството. Търсене на извънземни технологични цивилизации.  Парадокс на Ферми. Уравнение на Дрейк.</w:t>
            </w:r>
          </w:p>
        </w:tc>
      </w:tr>
      <w:tr xmlns:wp14="http://schemas.microsoft.com/office/word/2010/wordml" w:rsidR="00000000" w14:paraId="3836ACE3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1826C318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70515943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Завладяването на Космоса. Космическата надпревара. Космическото бъдеще на човечеството. Дискусия</w:t>
            </w:r>
          </w:p>
        </w:tc>
      </w:tr>
      <w:tr xmlns:wp14="http://schemas.microsoft.com/office/word/2010/wordml" w:rsidR="00000000" w14:paraId="228F5467" wp14:textId="77777777">
        <w:tc>
          <w:tcPr>
            <w:tcW w:w="6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774780" w14:paraId="1899E5E7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774780" w14:paraId="4E72442B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Заключение: бъдеще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на науката. Човечеството на прага на технологична сингулярност?</w:t>
            </w:r>
          </w:p>
        </w:tc>
      </w:tr>
    </w:tbl>
    <w:p xmlns:wp14="http://schemas.microsoft.com/office/word/2010/wordml" w:rsidR="00000000" w:rsidRDefault="00774780" w14:paraId="254D95EC" wp14:textId="77777777">
      <w:pPr>
        <w:pStyle w:val="a7"/>
        <w:spacing w:before="36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00000" w:rsidRDefault="00774780" w14:paraId="64EF1CCA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1. „Кратка история на времето“, Стивън Хокинг, изд. Бард, 2010 г.</w:t>
      </w:r>
    </w:p>
    <w:p xmlns:wp14="http://schemas.microsoft.com/office/word/2010/wordml" w:rsidR="00000000" w:rsidRDefault="00774780" w14:paraId="4A72D16D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2. „Етюди по история на астрономията“, част 1, В. Шкодров, Акад. Издателство “Проф. Марин Дринов”, 2010 г.</w:t>
      </w:r>
    </w:p>
    <w:p xmlns:wp14="http://schemas.microsoft.com/office/word/2010/wordml" w:rsidR="00000000" w:rsidRDefault="00774780" w14:paraId="45117E72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 „Живот и Вселена“, Владимир Божилов и Камен Нам, изд. Магоарт, 2010 г.</w:t>
      </w:r>
    </w:p>
    <w:p xmlns:wp14="http://schemas.microsoft.com/office/word/2010/wordml" w:rsidR="00000000" w:rsidRDefault="00774780" w14:paraId="794CDEC9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4. „Пътеводител в квантовия свят“, Джим ал-Халили, изд. Дамян Яков, 2019 г.</w:t>
      </w:r>
    </w:p>
    <w:p xmlns:wp14="http://schemas.microsoft.com/office/word/2010/wordml" w:rsidR="00000000" w:rsidRDefault="00774780" w14:paraId="53F444F5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5. „Космос“, Карл Сейгън, изд. Бард, 2004 г.</w:t>
      </w:r>
    </w:p>
    <w:p xmlns:wp14="http://schemas.microsoft.com/office/word/2010/wordml" w:rsidR="00000000" w:rsidRDefault="00774780" w14:paraId="48A21919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774780" w14:paraId="214F4635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Съставил: гл. ас. д-р Владимир Божилов, гл. ас. д-р Георги Пе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тров</w:t>
      </w:r>
    </w:p>
    <w:p xmlns:wp14="http://schemas.microsoft.com/office/word/2010/wordml" w:rsidR="00000000" w:rsidRDefault="00774780" w14:paraId="6BD18F9B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774780" w14:paraId="54FF3686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 08.02.2021 г.</w:t>
      </w:r>
    </w:p>
    <w:p xmlns:wp14="http://schemas.microsoft.com/office/word/2010/wordml" w:rsidR="00000000" w:rsidRDefault="00774780" w14:paraId="238601FE" wp14:textId="77777777">
      <w:pPr>
        <w:tabs>
          <w:tab w:val="left" w:pos="5103"/>
        </w:tabs>
      </w:pPr>
    </w:p>
    <w:sectPr w:rsidR="00000000">
      <w:footerReference w:type="default" r:id="rId10"/>
      <w:footerReference w:type="first" r:id="rId11"/>
      <w:pgSz w:w="12240" w:h="15840" w:orient="portrait"/>
      <w:pgMar w:top="1701" w:right="1701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774780" w14:paraId="0F3CABC7" wp14:textId="77777777">
      <w:r>
        <w:separator/>
      </w:r>
    </w:p>
  </w:endnote>
  <w:endnote w:type="continuationSeparator" w:id="0">
    <w:p xmlns:wp14="http://schemas.microsoft.com/office/word/2010/wordml" w:rsidR="00000000" w:rsidRDefault="00774780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774780" w14:paraId="6BA96E13" wp14:textId="77777777">
    <w:pPr>
      <w:pStyle w:val="ab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3708C4BC" wp14:editId="7777777">
              <wp:simplePos x="0" y="0"/>
              <wp:positionH relativeFrom="page">
                <wp:posOffset>6610985</wp:posOffset>
              </wp:positionH>
              <wp:positionV relativeFrom="paragraph">
                <wp:posOffset>635</wp:posOffset>
              </wp:positionV>
              <wp:extent cx="77470" cy="144145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774780" w14:paraId="43DD4C48" wp14:textId="77777777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61C7A8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20.55pt;margin-top:.05pt;width: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">
              <v:textbox inset=".25pt,.25pt,.25pt,.25pt">
                <w:txbxContent>
                  <w:p w:rsidR="00000000" w:rsidRDefault="00774780" w14:paraId="2780DC9E" wp14:textId="77777777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774780" w14:paraId="4B1F511A" wp14:textId="777777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774780" w14:paraId="16DEB4AB" wp14:textId="77777777">
      <w:r>
        <w:separator/>
      </w:r>
    </w:p>
  </w:footnote>
  <w:footnote w:type="continuationSeparator" w:id="0">
    <w:p xmlns:wp14="http://schemas.microsoft.com/office/word/2010/wordml" w:rsidR="00000000" w:rsidRDefault="00774780" w14:paraId="0AD9C6F4" wp14:textId="77777777">
      <w:r>
        <w:continuationSeparator/>
      </w:r>
    </w:p>
  </w:footnote>
  <w:footnote w:id="1">
    <w:p xmlns:wp14="http://schemas.microsoft.com/office/word/2010/wordml" w:rsidR="00000000" w:rsidRDefault="00774780" w14:paraId="1D0D78AB" wp14:textId="77777777">
      <w:pPr>
        <w:pStyle w:val="ac"/>
      </w:pPr>
      <w:r>
        <w:rPr>
          <w:rStyle w:val="FootnoteCharacters"/>
          <w:rFonts w:ascii="Times New Roman" w:hAnsi="Times New Roman"/>
        </w:rPr>
        <w:footnoteRef/>
      </w:r>
      <w:r>
        <w:rPr>
          <w:rFonts w:eastAsia="MS Sans Serif"/>
          <w:lang w:val="ru-RU"/>
        </w:rPr>
        <w:tab/>
      </w:r>
      <w:r>
        <w:rPr>
          <w:rFonts w:eastAsia="MS Sans Serif"/>
          <w:lang w:val="ru-RU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80"/>
    <w:rsid w:val="00774780"/>
    <w:rsid w:val="032827A2"/>
    <w:rsid w:val="03345EC1"/>
    <w:rsid w:val="041E1AD3"/>
    <w:rsid w:val="0A1881D3"/>
    <w:rsid w:val="12E6F108"/>
    <w:rsid w:val="1EE1CE42"/>
    <w:rsid w:val="28168EA8"/>
    <w:rsid w:val="2AB7DEA8"/>
    <w:rsid w:val="2B5D75D8"/>
    <w:rsid w:val="2CE53EB7"/>
    <w:rsid w:val="3523CFF4"/>
    <w:rsid w:val="35E40AB4"/>
    <w:rsid w:val="37C07D8D"/>
    <w:rsid w:val="39483DB9"/>
    <w:rsid w:val="4173188F"/>
    <w:rsid w:val="41E35715"/>
    <w:rsid w:val="4695CB04"/>
    <w:rsid w:val="5166978B"/>
    <w:rsid w:val="528A5CF8"/>
    <w:rsid w:val="69475AF0"/>
    <w:rsid w:val="6C65A3B5"/>
    <w:rsid w:val="73C43D5E"/>
    <w:rsid w:val="75206B10"/>
    <w:rsid w:val="798F1B01"/>
    <w:rsid w:val="79D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7FC8CF15"/>
  <w15:chartTrackingRefBased/>
  <w15:docId w15:val="{D48A5626-00FF-4970-BCFC-B4B310799F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Times New Roman"/>
    </w:rPr>
  </w:style>
  <w:style w:type="character" w:styleId="DefaultParagraphFont" w:customStyle="1">
    <w:name w:val="Default Paragraph Font0"/>
  </w:style>
  <w:style w:type="character" w:styleId="WW-DefaultParagraphFont" w:customStyle="1">
    <w:name w:val="WW-Default Paragraph Font"/>
  </w:style>
  <w:style w:type="character" w:styleId="WW-DefaultParagraphFont1" w:customStyle="1">
    <w:name w:val="WW-Default Paragraph Font1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zh-CN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zh-CN" w:bidi="ar-SA"/>
    </w:rPr>
  </w:style>
  <w:style w:type="character" w:styleId="a3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zh-CN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zh-CN" w:bidi="ar-SA"/>
    </w:rPr>
  </w:style>
  <w:style w:type="character" w:styleId="FootnoteCharacters" w:customStyle="1">
    <w:name w:val="Footnote Characters"/>
    <w:rPr>
      <w:rFonts w:cs="Times New Roman"/>
      <w:vertAlign w:val="superscript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FootnoteReference" w:customStyle="1">
    <w:name w:val="footnote reference"/>
    <w:rPr>
      <w:vertAlign w:val="superscript"/>
    </w:rPr>
  </w:style>
  <w:style w:type="character" w:styleId="EndnoteCharacters" w:customStyle="1">
    <w:name w:val="Endnote Characters"/>
    <w:rPr>
      <w:vertAlign w:val="superscript"/>
    </w:rPr>
  </w:style>
  <w:style w:type="character" w:styleId="WW-EndnoteCharacters" w:customStyle="1">
    <w:name w:val="WW-Endnote Characters"/>
  </w:style>
  <w:style w:type="character" w:styleId="EndnoteReference" w:customStyle="1">
    <w:name w:val="endnote reference"/>
    <w:rPr>
      <w:vertAlign w:val="superscript"/>
    </w:rPr>
  </w:style>
  <w:style w:type="character" w:styleId="WW-FootnoteReference" w:customStyle="1">
    <w:name w:val="WW-Footnote Reference"/>
    <w:rPr>
      <w:vertAlign w:val="superscript"/>
    </w:rPr>
  </w:style>
  <w:style w:type="character" w:styleId="WW-EndnoteReference" w:customStyle="1">
    <w:name w:val="WW-Endnote Reference"/>
    <w:rPr>
      <w:vertAlign w:val="superscript"/>
    </w:rPr>
  </w:style>
  <w:style w:type="character" w:styleId="a5">
    <w:name w:val="footnote reference0"/>
    <w:rPr>
      <w:vertAlign w:val="superscript"/>
    </w:rPr>
  </w:style>
  <w:style w:type="character" w:styleId="a6">
    <w:name w:val="endnote reference0"/>
    <w:rPr>
      <w:vertAlign w:val="superscript"/>
    </w:rPr>
  </w:style>
  <w:style w:type="paragraph" w:styleId="Heading" w:customStyle="1">
    <w:name w:val="Heading"/>
    <w:basedOn w:val="a"/>
    <w:next w:val="a7"/>
    <w:pPr>
      <w:jc w:val="center"/>
    </w:pPr>
    <w:rPr>
      <w:sz w:val="28"/>
      <w:szCs w:val="28"/>
      <w:lang w:val="bg-BG"/>
    </w:rPr>
  </w:style>
  <w:style w:type="paragraph" w:styleId="a7">
    <w:name w:val="Body Text"/>
    <w:basedOn w:val="a"/>
    <w:pPr>
      <w:jc w:val="center"/>
    </w:pPr>
    <w:rPr>
      <w:sz w:val="28"/>
      <w:szCs w:val="28"/>
      <w:lang w:val="bg-BG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a"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styleId="ac">
    <w:name w:val="footnote text"/>
    <w:basedOn w:val="a"/>
  </w:style>
  <w:style w:type="paragraph" w:styleId="TableContents" w:customStyle="1">
    <w:name w:val="Table Contents"/>
    <w:basedOn w:val="a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a"/>
  </w:style>
  <w:style w:type="paragraph" w:styleId="ad">
    <w:name w:val="Body Text Indent"/>
    <w:basedOn w:val="a"/>
    <w:pPr>
      <w:jc w:val="both"/>
    </w:pPr>
    <w:rPr>
      <w:sz w:val="28"/>
      <w:szCs w:val="28"/>
      <w:lang w:val="bg-BG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12A6F-75DA-45B6-B77A-02C6A1ECF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B7F88-E5C7-4F15-910E-45D4FBDFFD46}"/>
</file>

<file path=customXml/itemProps3.xml><?xml version="1.0" encoding="utf-8"?>
<ds:datastoreItem xmlns:ds="http://schemas.openxmlformats.org/officeDocument/2006/customXml" ds:itemID="{DA210666-F5CA-408A-8B09-B4788AD5C0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5</cp:revision>
  <cp:lastPrinted>1601-01-01T00:00:00Z</cp:lastPrinted>
  <dcterms:created xsi:type="dcterms:W3CDTF">2021-04-30T09:41:00Z</dcterms:created>
  <dcterms:modified xsi:type="dcterms:W3CDTF">2021-05-18T18:52:50Z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